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365E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СЛТя-164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4A3DD5">
              <w:rPr>
                <w:rFonts w:ascii="Tahoma" w:hAnsi="Tahoma" w:cs="Tahoma"/>
                <w:b/>
                <w:sz w:val="28"/>
                <w:szCs w:val="28"/>
              </w:rPr>
              <w:t>торцевой ящичный</w:t>
            </w:r>
          </w:p>
        </w:tc>
      </w:tr>
    </w:tbl>
    <w:p w:rsidR="00D619AF" w:rsidRPr="00BD2733" w:rsidRDefault="0022133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365E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164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</w:t>
            </w:r>
            <w:r w:rsidR="008365E6">
              <w:rPr>
                <w:rFonts w:ascii="Segoe UI" w:hAnsi="Segoe UI" w:cs="Segoe UI"/>
                <w:sz w:val="20"/>
                <w:szCs w:val="20"/>
              </w:rPr>
              <w:t>164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365E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8365E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СЛТя-164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0758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365E6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0CF2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BEF21F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0D4E-B3C0-483B-91AB-2D54EE57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2022-01-25T04:04:00Z</dcterms:modified>
</cp:coreProperties>
</file>